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bookmarkStart w:id="0" w:name="_GoBack"/>
      <w:bookmarkEnd w:id="0"/>
      <w:r>
        <w:rPr>
          <w:rFonts w:hint="eastAsia" w:ascii="宋体" w:hAnsi="宋体" w:eastAsia="宋体" w:cs="宋体"/>
          <w:color w:val="000000"/>
          <w:sz w:val="32"/>
          <w:szCs w:val="32"/>
          <w:lang w:val="en-US" w:eastAsia="zh-CN" w:bidi="ar-SA"/>
        </w:rPr>
        <w:t>德昌县人民医院门急诊移动护理项目采购需求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、采购清单（投标人自理）</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二、技术参数要求（详见技术参数）</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2、交货时间：合同约定。</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、质量保修范围和保修期：硬件质保时间≥3年，软件1年，且后期的维保费不高于中标价的8%。</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2"/>
        <w:rPr>
          <w:rFonts w:hint="default"/>
          <w:lang w:val="en-U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10.本项目需要投标正本和副本各一份。</w:t>
      </w:r>
    </w:p>
    <w:p>
      <w:pPr>
        <w:spacing w:line="360" w:lineRule="auto"/>
        <w:ind w:left="0" w:leftChars="0" w:right="-161" w:firstLine="481" w:firstLineChars="228"/>
        <w:jc w:val="left"/>
        <w:rPr>
          <w:rStyle w:val="12"/>
          <w:rFonts w:hint="default" w:ascii="宋体" w:hAnsi="宋体" w:eastAsia="宋体"/>
          <w:color w:val="auto"/>
          <w:sz w:val="21"/>
          <w:szCs w:val="21"/>
          <w:highlight w:val="none"/>
          <w:lang w:val="en-US" w:eastAsia="zh-CN"/>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5"/>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5"/>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5"/>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5"/>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hAnsi="宋体" w:cs="宋体"/>
          <w:b/>
          <w:sz w:val="28"/>
          <w:szCs w:val="28"/>
        </w:rPr>
      </w:pPr>
      <w:r>
        <w:rPr>
          <w:rFonts w:hint="eastAsia"/>
          <w:color w:val="auto"/>
          <w:sz w:val="24"/>
          <w:szCs w:val="24"/>
          <w:lang w:val="en-US" w:eastAsia="zh-CN"/>
        </w:rPr>
        <w:t>附件：</w:t>
      </w:r>
    </w:p>
    <w:p>
      <w:pPr>
        <w:jc w:val="center"/>
        <w:rPr>
          <w:rFonts w:hint="eastAsia" w:hAnsi="宋体" w:cs="宋体" w:eastAsiaTheme="minorEastAsia"/>
          <w:b/>
          <w:bCs w:val="0"/>
          <w:sz w:val="28"/>
          <w:szCs w:val="28"/>
          <w:lang w:eastAsia="zh-CN"/>
        </w:rPr>
      </w:pPr>
      <w:r>
        <w:rPr>
          <w:rFonts w:hint="eastAsia" w:hAnsi="宋体" w:cs="宋体"/>
          <w:b/>
          <w:bCs w:val="0"/>
          <w:sz w:val="28"/>
          <w:szCs w:val="28"/>
        </w:rPr>
        <w:t>报价表</w:t>
      </w:r>
    </w:p>
    <w:p>
      <w:pPr>
        <w:spacing w:beforeAutospacing="0" w:afterAutospacing="0"/>
        <w:rPr>
          <w:rFonts w:hint="eastAsia" w:ascii="宋体" w:hAnsi="宋体" w:eastAsia="宋体" w:cs="宋体"/>
          <w:b w:val="0"/>
          <w:bCs/>
          <w:sz w:val="28"/>
          <w:szCs w:val="28"/>
          <w:vertAlign w:val="baseline"/>
          <w:lang w:val="en-US" w:eastAsia="zh-CN"/>
        </w:rPr>
      </w:pP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rPr>
        <w:t>报价应是最终用户验收合格后的总价，包括运输、保险、安装、税费、系统集成费用、完成本项目的所有费用。</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格式自理。</w:t>
      </w:r>
    </w:p>
    <w:p>
      <w:pPr>
        <w:pStyle w:val="5"/>
        <w:rPr>
          <w:rFonts w:hint="eastAsia" w:ascii="宋体" w:hAnsi="宋体" w:eastAsia="宋体" w:cs="宋体"/>
          <w:b w:val="0"/>
          <w:bCs w:val="0"/>
          <w:color w:val="000000"/>
          <w:sz w:val="28"/>
          <w:szCs w:val="28"/>
          <w:lang w:val="en-US" w:eastAsia="zh-CN"/>
        </w:rPr>
      </w:pPr>
      <w:r>
        <w:rPr>
          <w:rFonts w:hint="eastAsia" w:ascii="宋体" w:hAnsi="宋体" w:eastAsia="宋体" w:cs="宋体"/>
          <w:b w:val="0"/>
          <w:bCs/>
          <w:sz w:val="28"/>
          <w:szCs w:val="28"/>
          <w:vertAlign w:val="baseline"/>
          <w:lang w:val="en-US" w:eastAsia="zh-CN"/>
        </w:rPr>
        <w:t>2.大小写不一致按大写执行。2.报价包括运费、税费、培训费（按使用科室要求）。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宋体" w:hAnsi="宋体" w:eastAsia="宋体" w:cs="宋体"/>
          <w:b w:val="0"/>
          <w:bCs w:val="0"/>
          <w:kern w:val="2"/>
          <w:sz w:val="28"/>
          <w:szCs w:val="28"/>
          <w:lang w:val="en-US" w:eastAsia="zh-CN" w:bidi="ar-SA"/>
        </w:rPr>
      </w:pPr>
    </w:p>
    <w:p>
      <w:pPr>
        <w:pStyle w:val="5"/>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tbl>
      <w:tblPr>
        <w:tblStyle w:val="8"/>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6"/>
        <w:gridCol w:w="1896"/>
        <w:gridCol w:w="5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944" w:type="dxa"/>
            <w:gridSpan w:val="3"/>
            <w:tcBorders>
              <w:top w:val="nil"/>
              <w:left w:val="nil"/>
              <w:bottom w:val="nil"/>
              <w:right w:val="nil"/>
            </w:tcBorders>
            <w:shd w:val="clear" w:color="auto" w:fill="auto"/>
            <w:noWrap/>
            <w:vAlign w:val="center"/>
          </w:tcPr>
          <w:p>
            <w:pPr>
              <w:pStyle w:val="2"/>
              <w:ind w:firstLine="2891" w:firstLineChars="120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门诊移动输液管理系统升级项目技术需求</w:t>
            </w:r>
          </w:p>
          <w:p>
            <w:pPr>
              <w:pStyle w:val="2"/>
              <w:rPr>
                <w:rFonts w:hint="eastAsia" w:ascii="宋体" w:hAnsi="宋体" w:eastAsia="宋体" w:cs="宋体"/>
                <w:b/>
                <w:bCs/>
                <w:i w:val="0"/>
                <w:iCs w:val="0"/>
                <w:color w:val="000000"/>
                <w:sz w:val="24"/>
                <w:szCs w:val="24"/>
                <w:u w:val="none"/>
              </w:rPr>
            </w:pPr>
            <w:r>
              <w:rPr>
                <w:rFonts w:hint="eastAsia" w:ascii="宋体" w:hAnsi="宋体" w:eastAsia="宋体" w:cs="宋体"/>
                <w:b w:val="0"/>
                <w:bCs/>
                <w:kern w:val="2"/>
                <w:sz w:val="24"/>
                <w:szCs w:val="24"/>
                <w:vertAlign w:val="baseline"/>
                <w:lang w:val="en-US" w:eastAsia="zh-CN" w:bidi="ar-SA"/>
              </w:rPr>
              <w:t>项目包含系统集成平台和HIS的免费无缝衔接，第三方软硬件等接口费用。）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一、软件功能部分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时间同步</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用户登录时，客户端自动同步服务器时间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权限登录</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用户根据所赋予的权限，进行系统登录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接单识别方式</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输入查询条件查询处方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扫描门诊号，处方号二维码接单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刷就诊卡接单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单方信息展示</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支持显示医嘱明细、组号、开方信息、接单信息、病区座位信息，支持用药条码标签的预览及打印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多处方选择</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根据查询条件查询出多个处方支持弹框处方列表供用户选择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不规范处方处理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支持修改药品剂量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支持修改药品数量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支持修改药品频度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支持修改药品用法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支持对药品进行重新组方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自动排号</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支持对患者自动排号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座位分配</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支持查看座位分配情况，支持查看座位患者信息、输液详情，支持座位释放设置或手动释放座位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滴速设置</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支持对各组药品设置滴速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过敏药品提醒</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支持对需要皮试的药品进行判断，如果过敏信息为空或阳性则给出提醒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接单打印</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支持对瓶贴进行拖动排序，支持根据拖动的顺序自动对拼贴进行排号，支持选择对瓶贴进行选择打印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接单记录</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支持接单记录查询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配药打印</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根据接单记录自动打印出已拆分的输液瓶贴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提供已接单未打印数据列表，供用户手动打印输液瓶贴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提供已打印接单记录，记录打印时间和打印人。提供补打按钮可以供用户补打输液瓶贴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配药核对</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在药品类医嘱配药前，首先扫描药品瓶签上的条码进行配药核对，支持显示药品图片、名称、规格、副作用、药品说明信息，可选择点击返回或核对并返回操作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配药操作</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支持对待配药进行单独或批量完成配药操作，支持界面显示药品有效期，药品分类，医嘱种类，支持界面显示药品特殊提醒内容，操作完成后系统会提醒配药操作完成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治疗呼叫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穿刺呼叫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显示正在穿刺呼叫列表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显示等待穿刺患者列表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支持同一穿刺台多患者呼叫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支持输液中途穿刺呼叫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座位呼叫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支持电视大屏显示座位呼叫信息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PDA扫描条码处理呼叫信息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PDA震动提醒并显示未处理呼叫信息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呼叫器和座位信息绑定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支持自定义配置呼叫信息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支持自定义设置提示信息，提示信息支持滚动展示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(输液穿刺/针剂穿刺）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选择穿刺台</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选择穿刺执行时，支持用户选择穿刺台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呼叫列表展示</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支持扫描患者联或者瓶贴二维码进行患者呼叫，支持根据穿刺台展示呼叫患者列表，支持再次呼叫和取消呼叫，支持同一个穿刺台同时呼叫多位患者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医嘱信息核对</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PDA扫描药品条码后，界面显示穿刺台号、患者信息、药品信息、药品有效期提醒信息，支持手动切换穿刺台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患者信息核对</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PDA扫描患者联条码进行患者身份确认，核对正确后完成穿刺，核对失败后会有语音加震动警示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执行双人核对</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根据系统药品配置情况，需双人核对的药品，在核对或执行过程中，系统会强制完成双人签名后才能实现核对或执行操作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巡视/换药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用药执行巡视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对执行用药患者情况的查看及一般情况的基本操作，包括暂停、继续、终止、录入滴速和异常情况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换药</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换药核对扫描并支持自动结束上一代药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执行情况查看</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支持扫描患者联查询患者本次输液所有药袋信息以及执行状态，显示接单时间和最近换药时间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输液滴速校验</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根据药品配置预设滴速，巡视扫描录入滴速会自动校验提醒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结束治疗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PDA结束治疗</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将结束执行时间和执行人按医院需要回写至第三方系统中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皮试接单</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跟门诊号或者就诊卡号查询患者未交费但需要做皮试的处方信息，选择皮试药品，设置皮试时间和有效时间进行皮试接单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皮试患者管理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对正在做皮试的患者进行管理，显示患者皮试排队号，姓名和皮试剩余时间，支持自动倒计时，皮试时间到时提醒护士进行结果录入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皮试结果登记</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登记皮试结果，皮试批号，并记录登记时间，登记人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皮试结果回写</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将皮试结果回写至第三方系统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智能提醒&amp;数据联动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医嘱配药超时提醒</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药品配置完成后没有在规定时间内用药，医嘱执行时系统会进行提醒（配药超时提醒范围可配置），可选择继续用药、重新配药、停止执行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药品执行超时提醒</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药品配置完成后没有在规定时间内输注完成，医嘱执行时系统会进行提醒（配药超时提醒范围可配置）可选择继续用药、重新配药、停止执行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输液明细查询</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支持通过输液状态，用法、输液区、时间范围、接单人姓名、执行人姓名、就诊卡号、病历号、门诊号、患者姓名对输液明细进行精准查询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输液明细操作</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支持补打患者联输液条码，支持查看患者用药记录及操作明细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查询统计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标准统计</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治疗/输液明细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皮试结果查询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呼叫历史查询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座位配置</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支持pc端新增区域，支持手动添加、删除座位数、床位数，支持查看座位分布图，支持座位、床位自动分配，支持座位号和呼叫器的绑定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工作台端座位分配管理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支持PC端查询座位状态，未分配数量、被占用数量，正在释放数量；支持查看座位床位实际被占用和空闲情况，系统自动统计座位、床位总数、座位数、床位数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支持PC端设置座位释放方式及设置座位自动释放时长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支持PC端设置座位号实现座位的释放并结束输液，支持PC端一键释放所有座位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穿刺台配置</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支持按输液室对穿刺台名称、编号、位置、功能进行新增，支持对现有的穿刺台信息进行编辑、删除操作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输液室管理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支持用户手动创建输液室，包括输液室名称、类型、状态，也可通过和his对接直接获取输液室信息，支持查看所有输液室信息，支持对已完成设置的输液室进行修改、启用/停用、删除操作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可创建对应的角色（如护士、护士长、管理员等），对角色进行权限设置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创建/删除用户；用户角色设置；用户手机号绑定；用户科室设置，支持对相应科室时长进行选择；支持创建无角色或无科室账号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菜单管理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支持对系统菜单顺序、图标、科室权限、角色权限进行配置，可以给不同角色的用户配置不用的菜单权限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药品分类管理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支持新增药品分类，设置药品分类的标识形式、背景颜色，支持对药品分类进行新增、编辑、删除操作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药品库管理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支持在药品库新增药品名称，对药品设置分类、图片、文字描述、注意事项、副作用、巡视间隔时间、药品有效期、药理冲突信息，可自定义配置提示信息，支持设置各节点核对规格、用量和双人核对功能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医嘱配置管理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支持对医嘱类型、医嘱用药方式分类、医嘱流程、医嘱流程绑定规则、医嘱流程节点、快速录入项进行配置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公共字典项管理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支持对公共字典项进行配置，包括用量单位、使用频度进行设置，支持批量导入、导出、编辑、删除功能，支持对呼叫常用提示语、大屏常用提示信息进行配置，支持新增、编辑、删除操作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标签配置</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提供可视化配置工具配置输液标签和患者联标签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二、硬件部分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显控棒</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无线呼叫按钮</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60套</w:t>
            </w:r>
          </w:p>
        </w:tc>
      </w:tr>
    </w:tbl>
    <w:p>
      <w:pPr>
        <w:keepNext w:val="0"/>
        <w:keepLines w:val="0"/>
        <w:pageBreakBefore/>
        <w:widowControl w:val="0"/>
        <w:kinsoku/>
        <w:wordWrap/>
        <w:overflowPunct/>
        <w:topLinePunct w:val="0"/>
        <w:autoSpaceDE/>
        <w:autoSpaceDN/>
        <w:bidi w:val="0"/>
        <w:adjustRightInd/>
        <w:snapToGrid/>
        <w:textAlignment w:val="auto"/>
        <w:rPr>
          <w:rFonts w:hint="default" w:hAnsi="宋体" w:cs="宋体" w:eastAsiaTheme="minorEastAsia"/>
          <w:b/>
          <w:bCs w:val="0"/>
          <w:sz w:val="28"/>
          <w:szCs w:val="28"/>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66575E61"/>
    <w:multiLevelType w:val="singleLevel"/>
    <w:tmpl w:val="66575E61"/>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A34D6"/>
    <w:rsid w:val="05DA364D"/>
    <w:rsid w:val="07614D2F"/>
    <w:rsid w:val="08647852"/>
    <w:rsid w:val="0B5B6D20"/>
    <w:rsid w:val="0B847EF5"/>
    <w:rsid w:val="0CF93A5C"/>
    <w:rsid w:val="15AD3DC4"/>
    <w:rsid w:val="192C2E70"/>
    <w:rsid w:val="1B394F38"/>
    <w:rsid w:val="20B1120F"/>
    <w:rsid w:val="310D12DE"/>
    <w:rsid w:val="3461119D"/>
    <w:rsid w:val="38931C23"/>
    <w:rsid w:val="3A37116A"/>
    <w:rsid w:val="3D7845C8"/>
    <w:rsid w:val="3F796D68"/>
    <w:rsid w:val="46AE27AC"/>
    <w:rsid w:val="4963174F"/>
    <w:rsid w:val="577F7735"/>
    <w:rsid w:val="5EC923F2"/>
    <w:rsid w:val="6274293D"/>
    <w:rsid w:val="6DA01667"/>
    <w:rsid w:val="74015E5E"/>
    <w:rsid w:val="7A7B4F26"/>
    <w:rsid w:val="7AEA10C2"/>
    <w:rsid w:val="7F6B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5">
    <w:name w:val="Body Text"/>
    <w:basedOn w:val="1"/>
    <w:next w:val="1"/>
    <w:qFormat/>
    <w:uiPriority w:val="0"/>
    <w:pPr>
      <w:spacing w:line="360" w:lineRule="auto"/>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cp:lastPrinted>2024-11-21T02:08:00Z</cp:lastPrinted>
  <dcterms:modified xsi:type="dcterms:W3CDTF">2025-01-14T01:57:12Z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09A78E5BF35848169BEE4EE6D26F573F</vt:lpwstr>
  </property>
</Properties>
</file>