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Times New Roman"/>
          <w:sz w:val="36"/>
          <w:szCs w:val="36"/>
        </w:rPr>
      </w:pPr>
      <w:r>
        <w:rPr>
          <w:rFonts w:hint="eastAsia" w:cs="Times New Roman"/>
          <w:sz w:val="36"/>
          <w:szCs w:val="36"/>
        </w:rPr>
        <w:t>气密自动门技术参数</w:t>
      </w:r>
    </w:p>
    <w:p>
      <w:pPr>
        <w:numPr>
          <w:numId w:val="0"/>
        </w:numPr>
        <w:spacing w:line="440" w:lineRule="exact"/>
        <w:ind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</w:rPr>
        <w:t>门体采用1.0mm镀锌钢板静电粉末喷塑，门体内置铝合金龙骨，填充纸蜂窝，门体两侧铝合金包边喷塑颜色同门体颜色，门体底部带密封条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  <w:szCs w:val="24"/>
        </w:rPr>
        <w:t>门框采用铝型材喷塑同门体颜色,门框上带嵌入式密封条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</w:rPr>
        <w:t>视窗采用钢化玻璃圆角平面窗。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气密门使用寿命不低于50万次，气密门运行噪音低于60分贝。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控制装置在带电情况下能承受1250V 50HZ/60HZ电压，在1mim内无击穿或闪络现象。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门体在运行过程中，遇阻反弹力小于120N。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紧闭力&gt;70N,手动推力&lt;100N，整机消耗功率&lt;150W。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开闭门速度：250-550MM/S（可调）。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门体开放时间：2-20S(可调)。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cs="宋体"/>
          <w:color w:val="auto"/>
          <w:sz w:val="24"/>
          <w:szCs w:val="24"/>
        </w:rPr>
        <w:t>导轨具有气密动作，关闭时具有向下向内动作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需提供相关第三方证明。</w:t>
      </w:r>
    </w:p>
    <w:p>
      <w:pPr>
        <w:numPr>
          <w:ilvl w:val="0"/>
          <w:numId w:val="0"/>
        </w:numPr>
        <w:spacing w:line="440" w:lineRule="exact"/>
        <w:ind w:leftChars="0" w:firstLine="480" w:firstLineChars="200"/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cs="宋体"/>
          <w:color w:val="auto"/>
          <w:sz w:val="24"/>
          <w:szCs w:val="24"/>
        </w:rPr>
        <w:t>电机采用自主品牌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与门体厂家同品牌</w:t>
      </w:r>
      <w:r>
        <w:rPr>
          <w:rFonts w:hint="eastAsia" w:ascii="宋体" w:hAnsi="宋体" w:cs="宋体"/>
          <w:color w:val="auto"/>
          <w:sz w:val="24"/>
          <w:szCs w:val="24"/>
        </w:rPr>
        <w:t>，并提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供动力梁检测报告等相关资料。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4327"/>
    <w:rsid w:val="16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2021-02-26T01:16:00Z</dcterms:created>
  <dc:creator>54564</dc:creator>
  <cp:lastModifiedBy>54564</cp:lastModifiedBy>
  <dcterms:modified xsi:type="dcterms:W3CDTF">2021-02-26T01:19:59Z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